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安徽省通源环境节能股份有限公司调研报告</w:t>
      </w:r>
    </w:p>
    <w:p>
      <w:pPr>
        <w:jc w:val="center"/>
        <w:rPr>
          <w:rFonts w:hint="eastAsia"/>
          <w:lang w:val="en-US" w:eastAsia="zh-CN"/>
        </w:rPr>
      </w:pPr>
    </w:p>
    <w:p>
      <w:pPr>
        <w:jc w:val="center"/>
        <w:rPr>
          <w:rFonts w:hint="eastAsia"/>
          <w:lang w:val="en-US" w:eastAsia="zh-CN"/>
        </w:rPr>
      </w:pPr>
    </w:p>
    <w:p>
      <w:pPr>
        <w:jc w:val="both"/>
        <w:rPr>
          <w:rFonts w:hint="eastAsia"/>
          <w:lang w:val="en-US" w:eastAsia="zh-CN"/>
        </w:rPr>
      </w:pPr>
      <w:r>
        <w:rPr>
          <w:rFonts w:hint="eastAsia"/>
          <w:lang w:val="en-US" w:eastAsia="zh-CN"/>
        </w:rPr>
        <w:t>调研人员：协会</w:t>
      </w:r>
      <w:bookmarkStart w:id="0" w:name="_GoBack"/>
      <w:bookmarkEnd w:id="0"/>
      <w:r>
        <w:rPr>
          <w:rFonts w:hint="eastAsia"/>
          <w:lang w:val="en-US" w:eastAsia="zh-CN"/>
        </w:rPr>
        <w:t>秘书处</w:t>
      </w:r>
    </w:p>
    <w:p>
      <w:pPr>
        <w:jc w:val="both"/>
        <w:rPr>
          <w:rFonts w:hint="eastAsia"/>
          <w:lang w:val="en-US" w:eastAsia="zh-CN"/>
        </w:rPr>
      </w:pPr>
      <w:r>
        <w:rPr>
          <w:rFonts w:hint="eastAsia"/>
          <w:lang w:val="en-US" w:eastAsia="zh-CN"/>
        </w:rPr>
        <w:t>调研时间：2018年6月6号</w:t>
      </w:r>
    </w:p>
    <w:p>
      <w:pPr>
        <w:jc w:val="both"/>
        <w:rPr>
          <w:rFonts w:hint="eastAsia"/>
          <w:lang w:val="en-US" w:eastAsia="zh-CN"/>
        </w:rPr>
      </w:pPr>
      <w:r>
        <w:rPr>
          <w:rFonts w:hint="eastAsia"/>
          <w:lang w:val="en-US" w:eastAsia="zh-CN"/>
        </w:rPr>
        <w:t>接待人员：通源环境办公室主任丁彦、财务工作人员</w:t>
      </w:r>
    </w:p>
    <w:p>
      <w:pPr>
        <w:jc w:val="both"/>
        <w:rPr>
          <w:rFonts w:hint="eastAsia"/>
          <w:lang w:val="en-US" w:eastAsia="zh-CN"/>
        </w:rPr>
      </w:pPr>
    </w:p>
    <w:p>
      <w:pPr>
        <w:pStyle w:val="2"/>
        <w:keepNext w:val="0"/>
        <w:keepLines w:val="0"/>
        <w:widowControl/>
        <w:suppressLineNumbers w:val="0"/>
        <w:spacing w:before="0" w:beforeAutospacing="1" w:after="0" w:afterAutospacing="0" w:line="360" w:lineRule="auto"/>
        <w:ind w:left="0" w:right="0" w:firstLine="480"/>
        <w:jc w:val="left"/>
        <w:rPr>
          <w:rFonts w:hint="eastAsia"/>
          <w:lang w:val="en-US" w:eastAsia="zh-CN"/>
        </w:rPr>
      </w:pPr>
      <w:r>
        <w:rPr>
          <w:rFonts w:hint="eastAsia"/>
          <w:lang w:val="en-US" w:eastAsia="zh-CN"/>
        </w:rPr>
        <w:t>一、公司简介</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安徽省通源环境节能股份有限公司成立于1999年（简称通源环境），聚焦于环保产业类，以“保护生态环境，建设绿色未来”为使命愿景、以“责任铸就、境善境美”为核心理念，力争成为环保行业最具竞争力的上市企业。该公司的主要业务板块有生态屏障修复、污泥处理处置、水环境综合整治、危固废处置与土壤修复，其中污泥处置、生态屏障为核心板块位居全国前列，土壤修复板块华东首屈一指，危废医废板块安徽实力最强，水环境综合整治为新拓展业务。2015年，通源环境进行股份制改造，成立股份制公司并成功登陆新三板。</w:t>
      </w:r>
    </w:p>
    <w:p>
      <w:pPr>
        <w:pStyle w:val="2"/>
        <w:keepNext w:val="0"/>
        <w:keepLines w:val="0"/>
        <w:widowControl/>
        <w:suppressLineNumbers w:val="0"/>
        <w:spacing w:before="0" w:beforeAutospacing="1" w:after="0" w:afterAutospacing="0" w:line="360" w:lineRule="auto"/>
        <w:ind w:left="0" w:right="0" w:firstLine="480"/>
        <w:jc w:val="left"/>
        <w:rPr>
          <w:rFonts w:hint="eastAsia"/>
          <w:szCs w:val="22"/>
          <w:lang w:val="en-US" w:eastAsia="zh-CN"/>
        </w:rPr>
      </w:pPr>
      <w:r>
        <w:rPr>
          <w:rFonts w:hint="eastAsia"/>
          <w:lang w:val="en-US" w:eastAsia="zh-CN"/>
        </w:rPr>
        <w:t>二、获得荣誉</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该公司已累计获得发明专利及实用新型专利共计40余项，被认定为国家级高新技术企业、安徽省级企业技术中心，“一体化污泥高干脱水技术开发与应用”项目分别获得合肥市科学技术一等奖和安徽省科学技术研究成果奖，连续多年被评为“AAA”级信用企业、获得“守合同重信用企业”称号。此外，该公司还分别获得“2014-2015年度中国最具价值环保设备品牌”、“2016年度中国固废行业污泥领域领先企业”、“2016-2017年度污泥处理处置优秀企业”、“2016-2017年度中国最具价值环保装备品牌”、“2017年度水环境修复领域领先企业”、“安徽省环保产业优秀企业”、“安徽省十佳环保创新企业”、“安徽省两化融合示范企业”等多项荣誉，业务覆盖含北京、上海在内的近30个省份和直辖市。</w:t>
      </w:r>
    </w:p>
    <w:p>
      <w:pPr>
        <w:pStyle w:val="2"/>
        <w:keepNext w:val="0"/>
        <w:keepLines w:val="0"/>
        <w:widowControl/>
        <w:numPr>
          <w:ilvl w:val="0"/>
          <w:numId w:val="1"/>
        </w:numPr>
        <w:suppressLineNumbers w:val="0"/>
        <w:spacing w:before="0" w:beforeAutospacing="1" w:after="0" w:afterAutospacing="0" w:line="360" w:lineRule="auto"/>
        <w:ind w:right="0" w:firstLine="480" w:firstLineChars="200"/>
        <w:jc w:val="left"/>
        <w:rPr>
          <w:rFonts w:hint="eastAsia"/>
          <w:szCs w:val="22"/>
          <w:lang w:val="en-US" w:eastAsia="zh-CN"/>
        </w:rPr>
      </w:pPr>
      <w:r>
        <w:rPr>
          <w:rFonts w:hint="eastAsia"/>
          <w:szCs w:val="22"/>
          <w:lang w:val="en-US" w:eastAsia="zh-CN"/>
        </w:rPr>
        <w:t>社会经济成就</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2017年该公司主营业务收入达63298.20万元，净利润6667.4万元，利润率10.53%，实现利税1500万元左右。</w:t>
      </w:r>
    </w:p>
    <w:p>
      <w:pPr>
        <w:pStyle w:val="2"/>
        <w:keepNext w:val="0"/>
        <w:keepLines w:val="0"/>
        <w:widowControl/>
        <w:numPr>
          <w:ilvl w:val="0"/>
          <w:numId w:val="0"/>
        </w:numPr>
        <w:suppressLineNumbers w:val="0"/>
        <w:spacing w:before="0" w:beforeAutospacing="1" w:after="0" w:afterAutospacing="0" w:line="360" w:lineRule="auto"/>
        <w:ind w:right="0" w:rightChars="0" w:firstLine="480" w:firstLineChars="200"/>
        <w:jc w:val="left"/>
        <w:rPr>
          <w:rFonts w:hint="eastAsia"/>
          <w:szCs w:val="22"/>
          <w:lang w:val="en-US" w:eastAsia="zh-CN"/>
        </w:rPr>
      </w:pPr>
      <w:r>
        <w:rPr>
          <w:rFonts w:hint="eastAsia"/>
          <w:szCs w:val="22"/>
          <w:lang w:val="en-US" w:eastAsia="zh-CN"/>
        </w:rPr>
        <w:t>四、主要业绩</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污泥处理处置类项目有：安徽省阜阳市颍南污水处理厂污泥深度处理工程、贵州省凯里市污泥无害化处理BOT项目、广西省贺州市污泥无害化处理处置BOT</w:t>
      </w:r>
      <w:r>
        <w:rPr>
          <w:rFonts w:hint="eastAsia"/>
          <w:szCs w:val="22"/>
          <w:lang w:val="en-US" w:eastAsia="zh-CN"/>
        </w:rPr>
        <w:tab/>
      </w:r>
      <w:r>
        <w:rPr>
          <w:rFonts w:hint="eastAsia"/>
          <w:szCs w:val="22"/>
          <w:lang w:val="en-US" w:eastAsia="zh-CN"/>
        </w:rPr>
        <w:t>项目、青海省西宁市污泥无害化处理、资源化利用项目、甘肃省兰州市城市污水厂污泥集中处置工程、湖北省随州市污水处理厂污泥处理处置工程、安徽省无为污泥资源化处置中心等。</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生态屏障修复案例有：安徽省合肥市龙泉山生活垃圾处理场工程、安徽省铜陵市危险物集中处置中心项目填埋场工程、湖南省张家界市煤炭湾生活垃圾填埋场工程、内蒙古阿拉善污水处理项目300万立方米晾晒池工程、黑龙江省大庆生活垃圾综合处理厂工程、广西省桂林市冲口生活垃圾卫生填埋场封场工程、新疆伊犁新天煤化工危险废物工程等。</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水环境综合整治类项目有：芜湖市镜湖区袁泽桥水环境综合整治工程、北京市通州区温榆河综合治理、歙县村级污水集中处理提升工程EPC项目等。</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危固废处置项目有：庐江60000吨/年废油再生工程项目、巢湖市万山医疗废物处置有限责任公司、日喀则市医疗废物处置中心、铜陵通源达废酸综合利用项目等。</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土壤修复类工程因涉及机密问题，工程名称不能详细公布。该公司紧跟土壤修复技术发展前沿，根据不同的场地污染情况，为客户提供对应的修复技术服务，独有的土壤修复调理剂可以显著改良土壤酸化、板结等问题，同时拥有重金属、有机物和矿山废渣污染综合治理方案，全方位解决各类土壤问题。</w:t>
      </w:r>
    </w:p>
    <w:p>
      <w:pPr>
        <w:pStyle w:val="2"/>
        <w:keepNext w:val="0"/>
        <w:keepLines w:val="0"/>
        <w:widowControl/>
        <w:numPr>
          <w:ilvl w:val="0"/>
          <w:numId w:val="0"/>
        </w:numPr>
        <w:suppressLineNumbers w:val="0"/>
        <w:spacing w:before="0" w:beforeAutospacing="1" w:after="0" w:afterAutospacing="0" w:line="360" w:lineRule="auto"/>
        <w:ind w:right="0" w:rightChars="0"/>
        <w:jc w:val="left"/>
        <w:rPr>
          <w:rFonts w:hint="eastAsia"/>
          <w:szCs w:val="22"/>
          <w:lang w:val="en-US" w:eastAsia="zh-CN"/>
        </w:rPr>
      </w:pPr>
      <w:r>
        <w:rPr>
          <w:rFonts w:hint="eastAsia"/>
          <w:szCs w:val="22"/>
          <w:lang w:val="en-US" w:eastAsia="zh-CN"/>
        </w:rPr>
        <w:t xml:space="preserve">    五、该公司与协会的业务联系</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该公司的水环境综合整治业务板块与协会业务范围内容有一定程度上的对口，通源环境致力于水环境保护治理，是聚焦黑臭水体治理、河湖底泥内源治理、湖泊河道整治与生态修复、村镇生活污水的综合处理、人工湿地污水处理、海绵城市与水资源综合利用规划、设计、施工及运营维护系统方案解决商。</w:t>
      </w:r>
    </w:p>
    <w:p>
      <w:pPr>
        <w:pStyle w:val="2"/>
        <w:keepNext w:val="0"/>
        <w:keepLines w:val="0"/>
        <w:widowControl/>
        <w:numPr>
          <w:ilvl w:val="0"/>
          <w:numId w:val="2"/>
        </w:numPr>
        <w:suppressLineNumbers w:val="0"/>
        <w:spacing w:before="0" w:beforeAutospacing="1" w:after="0" w:afterAutospacing="0" w:line="360" w:lineRule="auto"/>
        <w:ind w:right="0" w:firstLine="480" w:firstLineChars="200"/>
        <w:jc w:val="left"/>
        <w:rPr>
          <w:rFonts w:hint="eastAsia"/>
          <w:szCs w:val="22"/>
          <w:lang w:val="en-US" w:eastAsia="zh-CN"/>
        </w:rPr>
      </w:pPr>
      <w:r>
        <w:rPr>
          <w:rFonts w:hint="eastAsia"/>
          <w:szCs w:val="22"/>
          <w:lang w:val="en-US" w:eastAsia="zh-CN"/>
        </w:rPr>
        <w:t>对协会的意见和建议</w:t>
      </w:r>
    </w:p>
    <w:p>
      <w:pPr>
        <w:pStyle w:val="2"/>
        <w:keepNext w:val="0"/>
        <w:keepLines w:val="0"/>
        <w:widowControl/>
        <w:numPr>
          <w:ilvl w:val="0"/>
          <w:numId w:val="0"/>
        </w:numPr>
        <w:suppressLineNumbers w:val="0"/>
        <w:spacing w:before="0" w:beforeAutospacing="1" w:after="0" w:afterAutospacing="0" w:line="360" w:lineRule="auto"/>
        <w:ind w:right="0" w:rightChars="0" w:firstLine="480" w:firstLineChars="200"/>
        <w:jc w:val="left"/>
        <w:rPr>
          <w:rFonts w:hint="eastAsia"/>
          <w:szCs w:val="22"/>
          <w:lang w:val="en-US" w:eastAsia="zh-CN"/>
        </w:rPr>
      </w:pPr>
      <w:r>
        <w:rPr>
          <w:rFonts w:hint="eastAsia"/>
          <w:szCs w:val="22"/>
          <w:lang w:val="en-US" w:eastAsia="zh-CN"/>
        </w:rPr>
        <w:t>1、2018年度活动组织较少，希望多组织交流活动</w:t>
      </w:r>
    </w:p>
    <w:p>
      <w:pPr>
        <w:pStyle w:val="2"/>
        <w:keepNext w:val="0"/>
        <w:keepLines w:val="0"/>
        <w:widowControl/>
        <w:numPr>
          <w:ilvl w:val="0"/>
          <w:numId w:val="0"/>
        </w:numPr>
        <w:suppressLineNumbers w:val="0"/>
        <w:spacing w:before="0" w:beforeAutospacing="1" w:after="0" w:afterAutospacing="0" w:line="360" w:lineRule="auto"/>
        <w:ind w:right="0" w:rightChars="0" w:firstLine="480" w:firstLineChars="200"/>
        <w:jc w:val="left"/>
        <w:rPr>
          <w:rFonts w:hint="eastAsia"/>
          <w:szCs w:val="22"/>
          <w:lang w:val="en-US" w:eastAsia="zh-CN"/>
        </w:rPr>
      </w:pPr>
      <w:r>
        <w:rPr>
          <w:rFonts w:hint="eastAsia"/>
          <w:szCs w:val="22"/>
          <w:lang w:val="en-US" w:eastAsia="zh-CN"/>
        </w:rPr>
        <w:t>2、通过项目增加与地市级政府的互动</w:t>
      </w:r>
    </w:p>
    <w:p>
      <w:pPr>
        <w:pStyle w:val="2"/>
        <w:keepNext w:val="0"/>
        <w:keepLines w:val="0"/>
        <w:widowControl/>
        <w:numPr>
          <w:ilvl w:val="0"/>
          <w:numId w:val="0"/>
        </w:numPr>
        <w:suppressLineNumbers w:val="0"/>
        <w:spacing w:before="0" w:beforeAutospacing="1" w:after="0" w:afterAutospacing="0" w:line="360" w:lineRule="auto"/>
        <w:ind w:right="0" w:rightChars="0" w:firstLine="480" w:firstLineChars="200"/>
        <w:jc w:val="left"/>
        <w:rPr>
          <w:rFonts w:hint="eastAsia"/>
          <w:szCs w:val="22"/>
          <w:lang w:val="en-US" w:eastAsia="zh-CN"/>
        </w:rPr>
      </w:pPr>
      <w:r>
        <w:rPr>
          <w:rFonts w:hint="eastAsia"/>
          <w:szCs w:val="22"/>
          <w:lang w:val="en-US" w:eastAsia="zh-CN"/>
        </w:rPr>
        <w:t>3、通过各专业委员会使得各会员单位有实质性联动</w:t>
      </w:r>
    </w:p>
    <w:p>
      <w:pPr>
        <w:pStyle w:val="2"/>
        <w:keepNext w:val="0"/>
        <w:keepLines w:val="0"/>
        <w:widowControl/>
        <w:suppressLineNumbers w:val="0"/>
        <w:spacing w:before="0" w:beforeAutospacing="1" w:after="0" w:afterAutospacing="0" w:line="360" w:lineRule="auto"/>
        <w:ind w:left="0" w:right="0" w:firstLine="480"/>
        <w:jc w:val="left"/>
        <w:rPr>
          <w:rFonts w:hint="eastAsia"/>
          <w:lang w:val="en-US" w:eastAsia="zh-CN"/>
        </w:rPr>
      </w:pPr>
      <w:r>
        <w:rPr>
          <w:rFonts w:hint="eastAsia"/>
          <w:lang w:val="en-US" w:eastAsia="zh-CN"/>
        </w:rPr>
        <w:t>七、针对意见的对策</w:t>
      </w:r>
    </w:p>
    <w:p>
      <w:pPr>
        <w:pStyle w:val="2"/>
        <w:keepNext w:val="0"/>
        <w:keepLines w:val="0"/>
        <w:widowControl/>
        <w:suppressLineNumbers w:val="0"/>
        <w:spacing w:before="0" w:beforeAutospacing="1" w:after="0" w:afterAutospacing="0" w:line="360" w:lineRule="auto"/>
        <w:ind w:left="0" w:right="0" w:firstLine="480"/>
        <w:jc w:val="left"/>
        <w:rPr>
          <w:rFonts w:hint="eastAsia"/>
          <w:lang w:val="en-US" w:eastAsia="zh-CN"/>
        </w:rPr>
      </w:pPr>
      <w:r>
        <w:rPr>
          <w:rFonts w:hint="eastAsia"/>
          <w:lang w:val="en-US" w:eastAsia="zh-CN"/>
        </w:rPr>
        <w:t>1、组织有效率、有实际意义的活动，如案例分析、设计及施工单位经验总结分享、海绵城市建设成效良好地区考察活动等。</w:t>
      </w:r>
    </w:p>
    <w:p>
      <w:pPr>
        <w:pStyle w:val="2"/>
        <w:keepNext w:val="0"/>
        <w:keepLines w:val="0"/>
        <w:widowControl/>
        <w:suppressLineNumbers w:val="0"/>
        <w:spacing w:before="0" w:beforeAutospacing="1" w:after="0" w:afterAutospacing="0" w:line="360" w:lineRule="auto"/>
        <w:ind w:left="0" w:right="0" w:firstLine="480"/>
        <w:jc w:val="left"/>
        <w:rPr>
          <w:rFonts w:hint="eastAsia"/>
          <w:lang w:val="en-US" w:eastAsia="zh-CN"/>
        </w:rPr>
      </w:pPr>
      <w:r>
        <w:rPr>
          <w:rFonts w:hint="eastAsia"/>
          <w:lang w:val="en-US" w:eastAsia="zh-CN"/>
        </w:rPr>
        <w:t>2、通过各类海绵城市项目增加与地市级政府的互动，由协会带领各会员单位参与此类活动。</w:t>
      </w:r>
    </w:p>
    <w:p>
      <w:pPr>
        <w:pStyle w:val="2"/>
        <w:keepNext w:val="0"/>
        <w:keepLines w:val="0"/>
        <w:widowControl/>
        <w:suppressLineNumbers w:val="0"/>
        <w:spacing w:before="0" w:beforeAutospacing="1" w:after="0" w:afterAutospacing="0" w:line="360" w:lineRule="auto"/>
        <w:ind w:left="0" w:right="0" w:firstLine="480"/>
        <w:jc w:val="left"/>
        <w:rPr>
          <w:rFonts w:hint="eastAsia"/>
          <w:lang w:val="en-US" w:eastAsia="zh-CN"/>
        </w:rPr>
      </w:pPr>
      <w:r>
        <w:rPr>
          <w:rFonts w:hint="eastAsia"/>
          <w:lang w:val="en-US" w:eastAsia="zh-CN"/>
        </w:rPr>
        <w:t>3、协会下属各专业委员会应有实质性作用，参与全省各类海绵城市项目建设中，在技术指导、投资建设、运营管理等各环节都能起到实际的作用。</w:t>
      </w:r>
    </w:p>
    <w:p>
      <w:pPr>
        <w:pStyle w:val="2"/>
        <w:keepNext w:val="0"/>
        <w:keepLines w:val="0"/>
        <w:widowControl/>
        <w:suppressLineNumbers w:val="0"/>
        <w:spacing w:before="0" w:beforeAutospacing="1" w:after="0" w:afterAutospacing="0" w:line="360" w:lineRule="auto"/>
        <w:ind w:right="0" w:firstLine="480" w:firstLineChars="200"/>
        <w:rPr>
          <w:rFonts w:hint="eastAsia"/>
          <w:lang w:val="en-US" w:eastAsia="zh-CN"/>
        </w:rPr>
      </w:pPr>
      <w:r>
        <w:rPr>
          <w:rFonts w:hint="eastAsia"/>
          <w:lang w:val="en-US" w:eastAsia="zh-CN"/>
        </w:rPr>
        <w:t xml:space="preserve"> </w:t>
      </w:r>
    </w:p>
    <w:p>
      <w:pPr>
        <w:pStyle w:val="2"/>
        <w:keepNext w:val="0"/>
        <w:keepLines w:val="0"/>
        <w:widowControl/>
        <w:suppressLineNumbers w:val="0"/>
        <w:spacing w:before="0" w:beforeAutospacing="1" w:after="0" w:afterAutospacing="0" w:line="360" w:lineRule="auto"/>
        <w:ind w:right="0" w:firstLine="480" w:firstLineChars="200"/>
        <w:jc w:val="right"/>
        <w:rPr>
          <w:rFonts w:hint="eastAsia"/>
          <w:lang w:val="en-US" w:eastAsia="zh-CN"/>
        </w:rPr>
      </w:pPr>
      <w:r>
        <w:rPr>
          <w:rFonts w:hint="eastAsia"/>
          <w:lang w:val="en-US" w:eastAsia="zh-CN"/>
        </w:rPr>
        <w:t>2018年6月11日</w:t>
      </w:r>
    </w:p>
    <w:p>
      <w:pPr>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9F384"/>
    <w:multiLevelType w:val="singleLevel"/>
    <w:tmpl w:val="4F69F384"/>
    <w:lvl w:ilvl="0" w:tentative="0">
      <w:start w:val="3"/>
      <w:numFmt w:val="chineseCounting"/>
      <w:suff w:val="nothing"/>
      <w:lvlText w:val="%1、"/>
      <w:lvlJc w:val="left"/>
      <w:rPr>
        <w:rFonts w:hint="eastAsia"/>
      </w:rPr>
    </w:lvl>
  </w:abstractNum>
  <w:abstractNum w:abstractNumId="1">
    <w:nsid w:val="56160E22"/>
    <w:multiLevelType w:val="singleLevel"/>
    <w:tmpl w:val="56160E22"/>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B246C"/>
    <w:rsid w:val="00435B14"/>
    <w:rsid w:val="039C6434"/>
    <w:rsid w:val="049C5C08"/>
    <w:rsid w:val="04E9608B"/>
    <w:rsid w:val="06167F01"/>
    <w:rsid w:val="07183FAA"/>
    <w:rsid w:val="08697641"/>
    <w:rsid w:val="08B83E50"/>
    <w:rsid w:val="08BB5CA4"/>
    <w:rsid w:val="0BAF7C49"/>
    <w:rsid w:val="0C727E5F"/>
    <w:rsid w:val="0DA26D22"/>
    <w:rsid w:val="0EF352BE"/>
    <w:rsid w:val="10425699"/>
    <w:rsid w:val="10D65CD6"/>
    <w:rsid w:val="11D20A42"/>
    <w:rsid w:val="14DE450A"/>
    <w:rsid w:val="15E17929"/>
    <w:rsid w:val="16993C8F"/>
    <w:rsid w:val="183C616B"/>
    <w:rsid w:val="189F7A47"/>
    <w:rsid w:val="18A8487B"/>
    <w:rsid w:val="192B246C"/>
    <w:rsid w:val="198F717A"/>
    <w:rsid w:val="19FF2ACE"/>
    <w:rsid w:val="1A1004C3"/>
    <w:rsid w:val="1A906B9D"/>
    <w:rsid w:val="1AD7579C"/>
    <w:rsid w:val="1B3D236E"/>
    <w:rsid w:val="1F9143DE"/>
    <w:rsid w:val="1FC362CF"/>
    <w:rsid w:val="203514EB"/>
    <w:rsid w:val="214A2930"/>
    <w:rsid w:val="222817E6"/>
    <w:rsid w:val="224F2412"/>
    <w:rsid w:val="256B7C86"/>
    <w:rsid w:val="289B1457"/>
    <w:rsid w:val="289D1C30"/>
    <w:rsid w:val="29FF0DEE"/>
    <w:rsid w:val="2A4A7967"/>
    <w:rsid w:val="2B946C65"/>
    <w:rsid w:val="2D1F048A"/>
    <w:rsid w:val="2DE52BBA"/>
    <w:rsid w:val="2FB4117E"/>
    <w:rsid w:val="30D824A4"/>
    <w:rsid w:val="30DA1A06"/>
    <w:rsid w:val="31213C3D"/>
    <w:rsid w:val="314A02CD"/>
    <w:rsid w:val="31CB1E28"/>
    <w:rsid w:val="31D379C8"/>
    <w:rsid w:val="33530FB0"/>
    <w:rsid w:val="337C481A"/>
    <w:rsid w:val="33AF02DF"/>
    <w:rsid w:val="33D80B98"/>
    <w:rsid w:val="3469652A"/>
    <w:rsid w:val="348F2491"/>
    <w:rsid w:val="34D9748C"/>
    <w:rsid w:val="350F2E12"/>
    <w:rsid w:val="351D2295"/>
    <w:rsid w:val="36A26C3F"/>
    <w:rsid w:val="38877C09"/>
    <w:rsid w:val="38986EC0"/>
    <w:rsid w:val="39FC5854"/>
    <w:rsid w:val="3A7809FB"/>
    <w:rsid w:val="3A9050C5"/>
    <w:rsid w:val="3AFE2673"/>
    <w:rsid w:val="3DC13D5B"/>
    <w:rsid w:val="3DFB37E5"/>
    <w:rsid w:val="3E0A714A"/>
    <w:rsid w:val="3E1413EB"/>
    <w:rsid w:val="3E7303F9"/>
    <w:rsid w:val="3ECB1AC9"/>
    <w:rsid w:val="41230B80"/>
    <w:rsid w:val="412D36CD"/>
    <w:rsid w:val="42FB149C"/>
    <w:rsid w:val="469F2A2E"/>
    <w:rsid w:val="47AA4A54"/>
    <w:rsid w:val="47DB69A1"/>
    <w:rsid w:val="483F5103"/>
    <w:rsid w:val="49FE1191"/>
    <w:rsid w:val="4B181DF3"/>
    <w:rsid w:val="4B3545E5"/>
    <w:rsid w:val="4CDF3E38"/>
    <w:rsid w:val="4D956B45"/>
    <w:rsid w:val="4E2E378E"/>
    <w:rsid w:val="4F84393B"/>
    <w:rsid w:val="50623409"/>
    <w:rsid w:val="50E00639"/>
    <w:rsid w:val="51727C38"/>
    <w:rsid w:val="519A5273"/>
    <w:rsid w:val="51C61CED"/>
    <w:rsid w:val="51C638BA"/>
    <w:rsid w:val="53207EA1"/>
    <w:rsid w:val="55BA3607"/>
    <w:rsid w:val="569E183C"/>
    <w:rsid w:val="593846A6"/>
    <w:rsid w:val="5B7940AB"/>
    <w:rsid w:val="5D8376D2"/>
    <w:rsid w:val="5E4A0142"/>
    <w:rsid w:val="5F0D079A"/>
    <w:rsid w:val="5F8219D0"/>
    <w:rsid w:val="60554D2B"/>
    <w:rsid w:val="626212F3"/>
    <w:rsid w:val="643E487F"/>
    <w:rsid w:val="649D14B4"/>
    <w:rsid w:val="652728F5"/>
    <w:rsid w:val="68364DF6"/>
    <w:rsid w:val="68EB6301"/>
    <w:rsid w:val="6EA1583F"/>
    <w:rsid w:val="7029301F"/>
    <w:rsid w:val="70752A60"/>
    <w:rsid w:val="70CD0720"/>
    <w:rsid w:val="71C16C37"/>
    <w:rsid w:val="724D56AA"/>
    <w:rsid w:val="731B1A85"/>
    <w:rsid w:val="74920224"/>
    <w:rsid w:val="75624BE7"/>
    <w:rsid w:val="7A936FC0"/>
    <w:rsid w:val="7C025641"/>
    <w:rsid w:val="7C8A76D9"/>
    <w:rsid w:val="7C986943"/>
    <w:rsid w:val="7CD13361"/>
    <w:rsid w:val="7E164B10"/>
    <w:rsid w:val="7EB36A73"/>
    <w:rsid w:val="7F6D5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666666"/>
      <w:u w:val="none"/>
    </w:rPr>
  </w:style>
  <w:style w:type="character" w:styleId="5">
    <w:name w:val="Emphasis"/>
    <w:basedOn w:val="3"/>
    <w:qFormat/>
    <w:uiPriority w:val="0"/>
    <w:rPr>
      <w:rFonts w:ascii="微软雅黑" w:hAnsi="微软雅黑" w:eastAsia="微软雅黑" w:cs="微软雅黑"/>
      <w:color w:val="555555"/>
      <w:sz w:val="18"/>
      <w:szCs w:val="18"/>
    </w:rPr>
  </w:style>
  <w:style w:type="character" w:styleId="6">
    <w:name w:val="Hyperlink"/>
    <w:basedOn w:val="3"/>
    <w:qFormat/>
    <w:uiPriority w:val="0"/>
    <w:rPr>
      <w:color w:val="66666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2018-06-07T01:35:00Z</dcterms:created>
  <dc:creator>谜底</dc:creator>
  <cp:lastModifiedBy>JJ150</cp:lastModifiedBy>
  <dcterms:modified xsi:type="dcterms:W3CDTF">2018-07-11T02:30:28Z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